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7783" w14:textId="5BF2119B" w:rsidR="003400CD" w:rsidRPr="00906E9B" w:rsidRDefault="003400CD" w:rsidP="00906E9B">
      <w:pPr>
        <w:spacing w:beforeLines="20" w:before="48" w:afterLines="20" w:after="48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06E9B">
        <w:rPr>
          <w:rFonts w:ascii="Arial" w:hAnsi="Arial" w:cs="Arial"/>
          <w:b/>
          <w:bCs/>
          <w:sz w:val="32"/>
          <w:szCs w:val="32"/>
        </w:rPr>
        <w:t>C</w:t>
      </w:r>
      <w:r w:rsidR="53E4D019" w:rsidRPr="00906E9B">
        <w:rPr>
          <w:rFonts w:ascii="Arial" w:hAnsi="Arial" w:cs="Arial"/>
          <w:b/>
          <w:bCs/>
          <w:sz w:val="32"/>
          <w:szCs w:val="32"/>
        </w:rPr>
        <w:t xml:space="preserve">ollege </w:t>
      </w:r>
      <w:r w:rsidR="008A40A6">
        <w:rPr>
          <w:rFonts w:ascii="Arial" w:hAnsi="Arial" w:cs="Arial"/>
          <w:b/>
          <w:bCs/>
          <w:sz w:val="32"/>
          <w:szCs w:val="32"/>
        </w:rPr>
        <w:t xml:space="preserve">Coaching </w:t>
      </w:r>
      <w:r w:rsidR="53E4D019" w:rsidRPr="00906E9B">
        <w:rPr>
          <w:rFonts w:ascii="Arial" w:hAnsi="Arial" w:cs="Arial"/>
          <w:b/>
          <w:bCs/>
          <w:sz w:val="32"/>
          <w:szCs w:val="32"/>
        </w:rPr>
        <w:t>Needs Assessment</w:t>
      </w:r>
      <w:r w:rsidRPr="00906E9B">
        <w:rPr>
          <w:rFonts w:ascii="Arial" w:hAnsi="Arial" w:cs="Arial"/>
          <w:b/>
          <w:bCs/>
          <w:sz w:val="32"/>
          <w:szCs w:val="32"/>
        </w:rPr>
        <w:t xml:space="preserve"> </w:t>
      </w:r>
      <w:r w:rsidR="001D59E0" w:rsidRPr="00906E9B">
        <w:rPr>
          <w:rFonts w:ascii="Arial" w:hAnsi="Arial" w:cs="Arial"/>
          <w:b/>
          <w:bCs/>
          <w:sz w:val="32"/>
          <w:szCs w:val="32"/>
        </w:rPr>
        <w:t>Checklist</w:t>
      </w:r>
    </w:p>
    <w:p w14:paraId="01B1C7C1" w14:textId="3FAAE2F0" w:rsidR="002657C4" w:rsidRPr="00906E9B" w:rsidRDefault="002657C4" w:rsidP="00906E9B">
      <w:pPr>
        <w:spacing w:beforeLines="20" w:before="48" w:afterLines="20" w:after="48" w:line="276" w:lineRule="auto"/>
        <w:jc w:val="center"/>
        <w:rPr>
          <w:rFonts w:ascii="Arial" w:hAnsi="Arial" w:cs="Arial"/>
          <w:b/>
        </w:rPr>
      </w:pPr>
    </w:p>
    <w:p w14:paraId="260ADA58" w14:textId="57F37015" w:rsidR="0084672A" w:rsidRPr="00906E9B" w:rsidRDefault="0007485D" w:rsidP="00906E9B">
      <w:pPr>
        <w:pStyle w:val="BodyA"/>
        <w:spacing w:beforeLines="20" w:before="48" w:afterLines="20" w:after="48" w:line="276" w:lineRule="auto"/>
        <w:rPr>
          <w:rFonts w:ascii="Arial" w:eastAsia="Calibri Light" w:hAnsi="Arial" w:cs="Arial"/>
        </w:rPr>
      </w:pPr>
      <w:r w:rsidRPr="00906E9B">
        <w:rPr>
          <w:rFonts w:ascii="Arial" w:eastAsia="Calibri Light" w:hAnsi="Arial" w:cs="Arial"/>
          <w:i/>
          <w:iCs/>
        </w:rPr>
        <w:t>Created by Achieving the Dream and JFF</w:t>
      </w:r>
    </w:p>
    <w:p w14:paraId="077AFE7B" w14:textId="77777777" w:rsidR="0084672A" w:rsidRPr="00906E9B" w:rsidRDefault="0084672A" w:rsidP="00906E9B">
      <w:pPr>
        <w:spacing w:beforeLines="20" w:before="48" w:afterLines="20" w:after="48" w:line="276" w:lineRule="auto"/>
        <w:rPr>
          <w:rFonts w:ascii="Arial" w:hAnsi="Arial" w:cs="Arial"/>
          <w:bCs/>
          <w:u w:val="single"/>
        </w:rPr>
      </w:pPr>
    </w:p>
    <w:p w14:paraId="19D0ECAD" w14:textId="5F7BC04A" w:rsidR="00B66E5D" w:rsidRPr="00906E9B" w:rsidRDefault="003260A8" w:rsidP="00906E9B">
      <w:pPr>
        <w:spacing w:beforeLines="20" w:before="48" w:afterLines="20" w:after="48" w:line="276" w:lineRule="auto"/>
        <w:rPr>
          <w:rFonts w:ascii="Arial" w:hAnsi="Arial" w:cs="Arial"/>
          <w:bCs/>
        </w:rPr>
      </w:pPr>
      <w:r w:rsidRPr="00906E9B">
        <w:rPr>
          <w:rFonts w:ascii="Arial" w:hAnsi="Arial" w:cs="Arial"/>
          <w:bCs/>
          <w:u w:val="single"/>
        </w:rPr>
        <w:t>Purpose</w:t>
      </w:r>
      <w:r w:rsidRPr="00906E9B">
        <w:rPr>
          <w:rFonts w:ascii="Arial" w:hAnsi="Arial" w:cs="Arial"/>
          <w:bCs/>
        </w:rPr>
        <w:t xml:space="preserve">: </w:t>
      </w:r>
      <w:r w:rsidR="006A5CBD" w:rsidRPr="00906E9B">
        <w:rPr>
          <w:rFonts w:ascii="Arial" w:hAnsi="Arial" w:cs="Arial"/>
          <w:bCs/>
        </w:rPr>
        <w:t xml:space="preserve">This tool </w:t>
      </w:r>
      <w:r w:rsidR="00EB4A10" w:rsidRPr="00906E9B">
        <w:rPr>
          <w:rFonts w:ascii="Arial" w:hAnsi="Arial" w:cs="Arial"/>
          <w:bCs/>
        </w:rPr>
        <w:t xml:space="preserve">is an internal checklist that acts as a companion piece </w:t>
      </w:r>
      <w:r w:rsidR="003F4DF2" w:rsidRPr="00906E9B">
        <w:rPr>
          <w:rFonts w:ascii="Arial" w:hAnsi="Arial" w:cs="Arial"/>
          <w:bCs/>
        </w:rPr>
        <w:t xml:space="preserve">to the College Needs Assessment tool. This checklist </w:t>
      </w:r>
      <w:r w:rsidR="006A5CBD" w:rsidRPr="00906E9B">
        <w:rPr>
          <w:rFonts w:ascii="Arial" w:hAnsi="Arial" w:cs="Arial"/>
          <w:bCs/>
        </w:rPr>
        <w:t xml:space="preserve">outlines broad </w:t>
      </w:r>
      <w:r w:rsidR="003F4DF2" w:rsidRPr="00906E9B">
        <w:rPr>
          <w:rFonts w:ascii="Arial" w:hAnsi="Arial" w:cs="Arial"/>
          <w:bCs/>
        </w:rPr>
        <w:t>indicators</w:t>
      </w:r>
      <w:r w:rsidR="006A5CBD" w:rsidRPr="00906E9B">
        <w:rPr>
          <w:rFonts w:ascii="Arial" w:hAnsi="Arial" w:cs="Arial"/>
          <w:bCs/>
        </w:rPr>
        <w:t xml:space="preserve"> of college readiness</w:t>
      </w:r>
      <w:r w:rsidR="008D081B" w:rsidRPr="00906E9B">
        <w:rPr>
          <w:rFonts w:ascii="Arial" w:hAnsi="Arial" w:cs="Arial"/>
          <w:bCs/>
        </w:rPr>
        <w:t xml:space="preserve">, </w:t>
      </w:r>
      <w:r w:rsidR="006A5CBD" w:rsidRPr="00906E9B">
        <w:rPr>
          <w:rFonts w:ascii="Arial" w:hAnsi="Arial" w:cs="Arial"/>
          <w:bCs/>
        </w:rPr>
        <w:t>and lists companion artifacts that a coach can use</w:t>
      </w:r>
      <w:r w:rsidR="008D081B" w:rsidRPr="00906E9B">
        <w:rPr>
          <w:rFonts w:ascii="Arial" w:hAnsi="Arial" w:cs="Arial"/>
          <w:bCs/>
        </w:rPr>
        <w:t>,</w:t>
      </w:r>
      <w:r w:rsidR="00F20E75" w:rsidRPr="00906E9B">
        <w:rPr>
          <w:rFonts w:ascii="Arial" w:hAnsi="Arial" w:cs="Arial"/>
          <w:bCs/>
        </w:rPr>
        <w:t xml:space="preserve"> to</w:t>
      </w:r>
      <w:r w:rsidR="006A5CBD" w:rsidRPr="00906E9B">
        <w:rPr>
          <w:rFonts w:ascii="Arial" w:hAnsi="Arial" w:cs="Arial"/>
          <w:bCs/>
        </w:rPr>
        <w:t xml:space="preserve"> </w:t>
      </w:r>
      <w:r w:rsidR="003F4DF2" w:rsidRPr="00906E9B">
        <w:rPr>
          <w:rFonts w:ascii="Arial" w:hAnsi="Arial" w:cs="Arial"/>
          <w:bCs/>
        </w:rPr>
        <w:t xml:space="preserve">understand college contexts and conditions. These artifacts are suggestions and are not meant to be the sole input for each indicator. Coaches can and should engage colleges in </w:t>
      </w:r>
      <w:r w:rsidR="00280453" w:rsidRPr="00906E9B">
        <w:rPr>
          <w:rFonts w:ascii="Arial" w:hAnsi="Arial" w:cs="Arial"/>
          <w:bCs/>
        </w:rPr>
        <w:t xml:space="preserve">ongoing </w:t>
      </w:r>
      <w:r w:rsidR="003F4DF2" w:rsidRPr="00906E9B">
        <w:rPr>
          <w:rFonts w:ascii="Arial" w:hAnsi="Arial" w:cs="Arial"/>
          <w:bCs/>
        </w:rPr>
        <w:t>dialogue to flesh out conditions that lead to transformation</w:t>
      </w:r>
      <w:r w:rsidR="00280453" w:rsidRPr="00906E9B">
        <w:rPr>
          <w:rFonts w:ascii="Arial" w:hAnsi="Arial" w:cs="Arial"/>
          <w:bCs/>
        </w:rPr>
        <w:t>, as</w:t>
      </w:r>
      <w:r w:rsidR="003F4DF2" w:rsidRPr="00906E9B">
        <w:rPr>
          <w:rFonts w:ascii="Arial" w:hAnsi="Arial" w:cs="Arial"/>
          <w:bCs/>
        </w:rPr>
        <w:t xml:space="preserve"> each college will present unique challenges and opportunities</w:t>
      </w:r>
      <w:r w:rsidR="00280453" w:rsidRPr="00906E9B">
        <w:rPr>
          <w:rFonts w:ascii="Arial" w:hAnsi="Arial" w:cs="Arial"/>
          <w:bCs/>
        </w:rPr>
        <w:t xml:space="preserve">. This document is designed to provide a starting point and reference to ground ongoing work. </w:t>
      </w:r>
    </w:p>
    <w:p w14:paraId="18312855" w14:textId="77777777" w:rsidR="003260A8" w:rsidRPr="00906E9B" w:rsidRDefault="003260A8" w:rsidP="00906E9B">
      <w:pPr>
        <w:spacing w:beforeLines="20" w:before="48" w:afterLines="20" w:after="48" w:line="276" w:lineRule="auto"/>
        <w:rPr>
          <w:rFonts w:ascii="Arial" w:hAnsi="Arial" w:cs="Arial"/>
          <w:bCs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5935"/>
        <w:gridCol w:w="3600"/>
        <w:gridCol w:w="3510"/>
      </w:tblGrid>
      <w:tr w:rsidR="006D7895" w:rsidRPr="00906E9B" w14:paraId="7E9B7699" w14:textId="77777777" w:rsidTr="00E205FF">
        <w:trPr>
          <w:trHeight w:val="728"/>
          <w:tblHeader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5AA620DA" w14:textId="5653589E" w:rsidR="006D7895" w:rsidRPr="00906E9B" w:rsidRDefault="006D7895" w:rsidP="00E205FF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906E9B">
              <w:rPr>
                <w:rFonts w:ascii="Arial" w:hAnsi="Arial" w:cs="Arial"/>
                <w:b/>
                <w:bCs/>
              </w:rPr>
              <w:lastRenderedPageBreak/>
              <w:t xml:space="preserve">Readiness </w:t>
            </w:r>
            <w:r w:rsidR="00EF43F7" w:rsidRPr="00906E9B">
              <w:rPr>
                <w:rFonts w:ascii="Arial" w:hAnsi="Arial" w:cs="Arial"/>
                <w:b/>
                <w:bCs/>
              </w:rPr>
              <w:t>category</w:t>
            </w:r>
            <w:r w:rsidR="00F20E75" w:rsidRPr="00906E9B">
              <w:rPr>
                <w:rFonts w:ascii="Arial" w:hAnsi="Arial" w:cs="Arial"/>
              </w:rPr>
              <w:t>—</w:t>
            </w:r>
            <w:r w:rsidRPr="00906E9B">
              <w:rPr>
                <w:rFonts w:ascii="Arial" w:hAnsi="Arial" w:cs="Arial"/>
                <w:i/>
                <w:iCs/>
              </w:rPr>
              <w:t>description of what readiness looks like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36C2757" w14:textId="3AE2E1B0" w:rsidR="006D7895" w:rsidRPr="00906E9B" w:rsidRDefault="006D7895" w:rsidP="00E205FF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9B">
              <w:rPr>
                <w:rFonts w:ascii="Arial" w:hAnsi="Arial" w:cs="Arial"/>
                <w:b/>
                <w:bCs/>
              </w:rPr>
              <w:t xml:space="preserve">Evidence to </w:t>
            </w:r>
            <w:r w:rsidR="00EF43F7" w:rsidRPr="00906E9B">
              <w:rPr>
                <w:rFonts w:ascii="Arial" w:hAnsi="Arial" w:cs="Arial"/>
                <w:b/>
                <w:bCs/>
              </w:rPr>
              <w:t>support p</w:t>
            </w:r>
            <w:r w:rsidRPr="00906E9B">
              <w:rPr>
                <w:rFonts w:ascii="Arial" w:hAnsi="Arial" w:cs="Arial"/>
                <w:b/>
                <w:bCs/>
              </w:rPr>
              <w:t>ractice</w:t>
            </w:r>
            <w:r w:rsidR="000A5EA1">
              <w:rPr>
                <w:rFonts w:ascii="Arial" w:hAnsi="Arial" w:cs="Arial"/>
                <w:b/>
                <w:bCs/>
              </w:rPr>
              <w:t xml:space="preserve"> (examples)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92D6C2B" w14:textId="5F80F1A2" w:rsidR="006D7895" w:rsidRPr="00906E9B" w:rsidRDefault="00482C14" w:rsidP="00E205FF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06E9B">
              <w:rPr>
                <w:rFonts w:ascii="Arial" w:hAnsi="Arial" w:cs="Arial"/>
                <w:b/>
                <w:bCs/>
              </w:rPr>
              <w:t xml:space="preserve">Coach </w:t>
            </w:r>
            <w:r w:rsidR="00EF43F7" w:rsidRPr="00906E9B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6D7895" w:rsidRPr="00906E9B" w14:paraId="4024CF39" w14:textId="77777777" w:rsidTr="00906E9B">
        <w:trPr>
          <w:trHeight w:val="3564"/>
        </w:trPr>
        <w:tc>
          <w:tcPr>
            <w:tcW w:w="5935" w:type="dxa"/>
          </w:tcPr>
          <w:p w14:paraId="2D21C8A4" w14:textId="70C2C2F8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Leadership </w:t>
            </w:r>
            <w:r w:rsidR="00253A6C" w:rsidRPr="00906E9B">
              <w:rPr>
                <w:rFonts w:ascii="Arial" w:hAnsi="Arial" w:cs="Arial"/>
              </w:rPr>
              <w:t>c</w:t>
            </w:r>
            <w:r w:rsidRPr="00906E9B">
              <w:rPr>
                <w:rFonts w:ascii="Arial" w:hAnsi="Arial" w:cs="Arial"/>
              </w:rPr>
              <w:t xml:space="preserve">ommitment </w:t>
            </w:r>
          </w:p>
          <w:p w14:paraId="041AF534" w14:textId="13686357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voice a clear, compelling</w:t>
            </w:r>
            <w:r w:rsidR="002D3F2B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and urgent student success vision </w:t>
            </w:r>
          </w:p>
          <w:p w14:paraId="193D7328" w14:textId="166AFC6B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understand importance of having student success goals and priorities, and organization college has/is developing goals and priorities</w:t>
            </w:r>
          </w:p>
          <w:p w14:paraId="65777FE6" w14:textId="77777777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create culture in which change can happen anywhere in the system</w:t>
            </w:r>
          </w:p>
          <w:p w14:paraId="34728780" w14:textId="54425070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are willing to change structures, policies</w:t>
            </w:r>
            <w:r w:rsidR="00487853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and processes to accomplish system-wide change</w:t>
            </w:r>
          </w:p>
          <w:p w14:paraId="28C51763" w14:textId="77777777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allocate resources strategically</w:t>
            </w:r>
          </w:p>
          <w:p w14:paraId="2C1EFB4C" w14:textId="77777777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empower others to step up and take smart risks</w:t>
            </w:r>
          </w:p>
          <w:p w14:paraId="3B9B4D47" w14:textId="55C80E06" w:rsidR="006D7895" w:rsidRPr="00906E9B" w:rsidRDefault="006D7895" w:rsidP="00E205F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Leaders hold others accountable for progress, results</w:t>
            </w:r>
            <w:r w:rsidR="00D7689E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and shared learning</w:t>
            </w:r>
          </w:p>
          <w:p w14:paraId="4FF07F40" w14:textId="77777777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353F289" w14:textId="050BC982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 Five-year strategic plan</w:t>
            </w:r>
          </w:p>
          <w:p w14:paraId="44FD2F74" w14:textId="526357B1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71DCBB96" w14:textId="2D90F257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17DDDB3F" w14:textId="7A203A59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124802C6" w14:textId="2E765E61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7D792180" w14:textId="2A9A685B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0C376D75" w14:textId="2FE2CEC8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7EBE5D82" w14:textId="59A83F34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One-year operating plan </w:t>
            </w:r>
            <w:r w:rsidR="00482C14" w:rsidRPr="00906E9B">
              <w:rPr>
                <w:rFonts w:ascii="Arial" w:hAnsi="Arial" w:cs="Arial"/>
              </w:rPr>
              <w:t xml:space="preserve">with strategic funding priorities </w:t>
            </w:r>
          </w:p>
          <w:p w14:paraId="2C81E007" w14:textId="77777777" w:rsidR="006D7895" w:rsidRPr="00906E9B" w:rsidRDefault="006D7895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25086419" w14:textId="1103EB25" w:rsidR="006D7895" w:rsidRPr="00906E9B" w:rsidRDefault="00482C14" w:rsidP="00E205F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External p</w:t>
            </w:r>
            <w:r w:rsidR="006D7895" w:rsidRPr="00906E9B">
              <w:rPr>
                <w:rFonts w:ascii="Arial" w:hAnsi="Arial" w:cs="Arial"/>
              </w:rPr>
              <w:t xml:space="preserve">ublished reports using institutional data. </w:t>
            </w:r>
          </w:p>
        </w:tc>
        <w:tc>
          <w:tcPr>
            <w:tcW w:w="3510" w:type="dxa"/>
          </w:tcPr>
          <w:p w14:paraId="72E11663" w14:textId="77777777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  <w:tr w:rsidR="006D7895" w:rsidRPr="00906E9B" w14:paraId="740D7839" w14:textId="77777777" w:rsidTr="00906E9B">
        <w:trPr>
          <w:trHeight w:val="2151"/>
        </w:trPr>
        <w:tc>
          <w:tcPr>
            <w:tcW w:w="5935" w:type="dxa"/>
          </w:tcPr>
          <w:p w14:paraId="5F2E8FE7" w14:textId="7B1712F1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Engagement and </w:t>
            </w:r>
            <w:r w:rsidR="00E8407D" w:rsidRPr="00906E9B">
              <w:rPr>
                <w:rFonts w:ascii="Arial" w:hAnsi="Arial" w:cs="Arial"/>
              </w:rPr>
              <w:t xml:space="preserve">communication culture </w:t>
            </w:r>
          </w:p>
          <w:p w14:paraId="185374BA" w14:textId="0E6762C7" w:rsidR="006D7895" w:rsidRPr="00906E9B" w:rsidRDefault="006D7895" w:rsidP="00906E9B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Student success vision, goals</w:t>
            </w:r>
            <w:r w:rsidR="00D556CF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and priorities understood throughout college</w:t>
            </w:r>
          </w:p>
          <w:p w14:paraId="54B1B4F2" w14:textId="77777777" w:rsidR="006D7895" w:rsidRPr="00906E9B" w:rsidRDefault="006D7895" w:rsidP="00906E9B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“Shared responsibility” for equitable student outcomes is widely understood and adopted</w:t>
            </w:r>
          </w:p>
          <w:p w14:paraId="40779CA7" w14:textId="2F451A4D" w:rsidR="006D7895" w:rsidRPr="00906E9B" w:rsidRDefault="006D7895" w:rsidP="00906E9B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Broadly cross-functional groups of faculty, staff</w:t>
            </w:r>
            <w:r w:rsidR="00D556CF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and students engaged in student success work</w:t>
            </w:r>
          </w:p>
          <w:p w14:paraId="47C18C5B" w14:textId="77777777" w:rsidR="006D7895" w:rsidRPr="00906E9B" w:rsidRDefault="006D7895" w:rsidP="00906E9B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Input from multiple, diverse perspectives regularly sought for problem solving </w:t>
            </w:r>
          </w:p>
          <w:p w14:paraId="13F9052A" w14:textId="10F09893" w:rsidR="006D7895" w:rsidRPr="0026504E" w:rsidRDefault="006D7895" w:rsidP="0026504E"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lastRenderedPageBreak/>
              <w:t xml:space="preserve">Organization </w:t>
            </w:r>
            <w:r w:rsidR="00CD5B6B" w:rsidRPr="00906E9B">
              <w:rPr>
                <w:rFonts w:ascii="Arial" w:hAnsi="Arial" w:cs="Arial"/>
              </w:rPr>
              <w:t xml:space="preserve">college </w:t>
            </w:r>
            <w:r w:rsidRPr="00906E9B">
              <w:rPr>
                <w:rFonts w:ascii="Arial" w:hAnsi="Arial" w:cs="Arial"/>
              </w:rPr>
              <w:t>has experience with collaborative problem</w:t>
            </w:r>
            <w:r w:rsidR="00F2544B" w:rsidRPr="00906E9B">
              <w:rPr>
                <w:rFonts w:ascii="Arial" w:hAnsi="Arial" w:cs="Arial"/>
              </w:rPr>
              <w:t xml:space="preserve"> </w:t>
            </w:r>
            <w:r w:rsidRPr="00906E9B">
              <w:rPr>
                <w:rFonts w:ascii="Arial" w:hAnsi="Arial" w:cs="Arial"/>
              </w:rPr>
              <w:t>solving around difficult, complex</w:t>
            </w:r>
            <w:r w:rsidR="00B75CAF" w:rsidRPr="00906E9B">
              <w:rPr>
                <w:rFonts w:ascii="Arial" w:hAnsi="Arial" w:cs="Arial"/>
              </w:rPr>
              <w:t>,</w:t>
            </w:r>
            <w:r w:rsidRPr="00906E9B">
              <w:rPr>
                <w:rFonts w:ascii="Arial" w:hAnsi="Arial" w:cs="Arial"/>
              </w:rPr>
              <w:t xml:space="preserve"> or multi-faceted issues</w:t>
            </w:r>
          </w:p>
        </w:tc>
        <w:tc>
          <w:tcPr>
            <w:tcW w:w="3600" w:type="dxa"/>
          </w:tcPr>
          <w:p w14:paraId="04629373" w14:textId="27D4E4AC" w:rsidR="00482C14" w:rsidRPr="00E205FF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906E9B">
              <w:rPr>
                <w:rFonts w:ascii="Arial" w:hAnsi="Arial" w:cs="Arial"/>
              </w:rPr>
              <w:lastRenderedPageBreak/>
              <w:t>Sub</w:t>
            </w:r>
            <w:r w:rsidR="00311644" w:rsidRPr="00906E9B">
              <w:rPr>
                <w:rFonts w:ascii="Arial" w:hAnsi="Arial" w:cs="Arial"/>
              </w:rPr>
              <w:t>-</w:t>
            </w:r>
            <w:r w:rsidRPr="00906E9B">
              <w:rPr>
                <w:rFonts w:ascii="Arial" w:hAnsi="Arial" w:cs="Arial"/>
              </w:rPr>
              <w:t xml:space="preserve">outcomes or metrics for specific departments/units in institution </w:t>
            </w:r>
          </w:p>
          <w:p w14:paraId="6E3E50C9" w14:textId="77777777" w:rsidR="00482C14" w:rsidRPr="00E205FF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27F097" w14:textId="52DC75EF" w:rsidR="00643189" w:rsidRPr="00E205FF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906E9B">
              <w:rPr>
                <w:rFonts w:ascii="Arial" w:hAnsi="Arial" w:cs="Arial"/>
              </w:rPr>
              <w:t>Broad representation for diverse departmental staff on committees or working groups</w:t>
            </w:r>
          </w:p>
          <w:p w14:paraId="6D61EF77" w14:textId="612C976C" w:rsidR="00643189" w:rsidRPr="00E205FF" w:rsidRDefault="00643189" w:rsidP="00906E9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50D1FA" w14:textId="74E9DAE8" w:rsidR="00335568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Documented history in broad reform work (historic participation </w:t>
            </w:r>
            <w:r w:rsidRPr="00906E9B">
              <w:rPr>
                <w:rFonts w:ascii="Arial" w:hAnsi="Arial" w:cs="Arial"/>
              </w:rPr>
              <w:lastRenderedPageBreak/>
              <w:t>in ATD, CBD, or other “whole college” initiatives)</w:t>
            </w:r>
          </w:p>
          <w:p w14:paraId="1DCEE567" w14:textId="2543723E" w:rsidR="00335568" w:rsidRDefault="00335568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2E1A0BC6" w14:textId="2B1DC326" w:rsidR="006D7895" w:rsidRPr="00906E9B" w:rsidRDefault="006D7895" w:rsidP="0075112F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68280A86" w14:textId="77777777" w:rsidR="006D7895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2A678003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1817316D" w14:textId="77777777" w:rsidR="002741FE" w:rsidRPr="0075112F" w:rsidRDefault="002741FE" w:rsidP="0026504E">
            <w:pPr>
              <w:rPr>
                <w:rFonts w:ascii="Arial" w:hAnsi="Arial" w:cs="Arial"/>
              </w:rPr>
            </w:pPr>
          </w:p>
          <w:p w14:paraId="5FA4626C" w14:textId="77777777" w:rsidR="002741FE" w:rsidRPr="006D01EB" w:rsidRDefault="002741FE" w:rsidP="0026504E">
            <w:pPr>
              <w:rPr>
                <w:rFonts w:ascii="Arial" w:hAnsi="Arial" w:cs="Arial"/>
              </w:rPr>
            </w:pPr>
          </w:p>
          <w:p w14:paraId="5814ADC9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5CBC31FE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5D9CDE47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650EC433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778F71B0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64FD8EB7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64D4C742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0EDC7B91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47EB88D3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68DD02E4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75322803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3EECEC55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26C54556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519FD797" w14:textId="77777777" w:rsidR="002741FE" w:rsidRPr="002741FE" w:rsidRDefault="002741FE" w:rsidP="0026504E">
            <w:pPr>
              <w:rPr>
                <w:rFonts w:ascii="Arial" w:hAnsi="Arial" w:cs="Arial"/>
              </w:rPr>
            </w:pPr>
          </w:p>
          <w:p w14:paraId="1143E0A3" w14:textId="60AB5138" w:rsidR="002741FE" w:rsidRPr="002741FE" w:rsidRDefault="002741FE" w:rsidP="0026504E">
            <w:pPr>
              <w:rPr>
                <w:rFonts w:ascii="Arial" w:hAnsi="Arial" w:cs="Arial"/>
              </w:rPr>
            </w:pPr>
          </w:p>
        </w:tc>
      </w:tr>
      <w:tr w:rsidR="006D7895" w:rsidRPr="00906E9B" w14:paraId="021FB28B" w14:textId="77777777" w:rsidTr="00906E9B">
        <w:trPr>
          <w:trHeight w:val="2973"/>
        </w:trPr>
        <w:tc>
          <w:tcPr>
            <w:tcW w:w="5935" w:type="dxa"/>
          </w:tcPr>
          <w:p w14:paraId="43CA0696" w14:textId="38D2C1C8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lastRenderedPageBreak/>
              <w:t xml:space="preserve">Data and </w:t>
            </w:r>
            <w:r w:rsidR="00E8407D" w:rsidRPr="00906E9B">
              <w:rPr>
                <w:rFonts w:ascii="Arial" w:hAnsi="Arial" w:cs="Arial"/>
              </w:rPr>
              <w:t>technology i</w:t>
            </w:r>
            <w:r w:rsidRPr="00906E9B">
              <w:rPr>
                <w:rFonts w:ascii="Arial" w:hAnsi="Arial" w:cs="Arial"/>
              </w:rPr>
              <w:t>nfrastructure</w:t>
            </w:r>
          </w:p>
          <w:p w14:paraId="386B8747" w14:textId="77777777" w:rsidR="006D7895" w:rsidRPr="00906E9B" w:rsidRDefault="006D7895" w:rsidP="00906E9B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Organization understands student barriers, equity gaps, other student-centered data</w:t>
            </w:r>
          </w:p>
          <w:p w14:paraId="10318005" w14:textId="77777777" w:rsidR="006D7895" w:rsidRPr="00906E9B" w:rsidRDefault="006D7895" w:rsidP="00906E9B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Organization shares data widely and uses it to inform decision making</w:t>
            </w:r>
          </w:p>
          <w:p w14:paraId="5608EF65" w14:textId="77777777" w:rsidR="006D7895" w:rsidRPr="00906E9B" w:rsidRDefault="006D7895" w:rsidP="00906E9B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>Organization spends time getting questions right instead of rushing to premature conclusions</w:t>
            </w:r>
          </w:p>
          <w:p w14:paraId="2FD4DCA5" w14:textId="7AC67D2E" w:rsidR="006D7895" w:rsidRPr="00906E9B" w:rsidRDefault="006D7895" w:rsidP="00906E9B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Organization </w:t>
            </w:r>
            <w:r w:rsidR="00A1378E" w:rsidRPr="00906E9B">
              <w:rPr>
                <w:rFonts w:ascii="Arial" w:hAnsi="Arial" w:cs="Arial"/>
              </w:rPr>
              <w:t xml:space="preserve">is </w:t>
            </w:r>
            <w:r w:rsidRPr="00906E9B">
              <w:rPr>
                <w:rFonts w:ascii="Arial" w:hAnsi="Arial" w:cs="Arial"/>
              </w:rPr>
              <w:t>willing to challenge anecdotal information or assumptions that have been taken for granted, and admit they don’t know the answer</w:t>
            </w:r>
          </w:p>
        </w:tc>
        <w:tc>
          <w:tcPr>
            <w:tcW w:w="3600" w:type="dxa"/>
          </w:tcPr>
          <w:p w14:paraId="66D27F67" w14:textId="2E994E2E" w:rsidR="006D7895" w:rsidRPr="00906E9B" w:rsidRDefault="003C4F3C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List of </w:t>
            </w:r>
            <w:r w:rsidR="00074C31" w:rsidRPr="00906E9B">
              <w:rPr>
                <w:rFonts w:ascii="Arial" w:hAnsi="Arial" w:cs="Arial"/>
              </w:rPr>
              <w:t xml:space="preserve">any technology solutions </w:t>
            </w:r>
            <w:r w:rsidR="00643189" w:rsidRPr="00906E9B">
              <w:rPr>
                <w:rFonts w:ascii="Arial" w:hAnsi="Arial" w:cs="Arial"/>
              </w:rPr>
              <w:t xml:space="preserve">acquired by, in </w:t>
            </w:r>
            <w:r w:rsidR="00482C14" w:rsidRPr="00906E9B">
              <w:rPr>
                <w:rFonts w:ascii="Arial" w:hAnsi="Arial" w:cs="Arial"/>
              </w:rPr>
              <w:t>use, or</w:t>
            </w:r>
            <w:r w:rsidR="00074C31" w:rsidRPr="00906E9B">
              <w:rPr>
                <w:rFonts w:ascii="Arial" w:hAnsi="Arial" w:cs="Arial"/>
              </w:rPr>
              <w:t xml:space="preserve"> under exploration by college (Starfish, </w:t>
            </w:r>
            <w:r w:rsidR="001D59E0" w:rsidRPr="00906E9B">
              <w:rPr>
                <w:rFonts w:ascii="Arial" w:hAnsi="Arial" w:cs="Arial"/>
              </w:rPr>
              <w:t>etc.)</w:t>
            </w:r>
          </w:p>
          <w:p w14:paraId="4A58F4DB" w14:textId="51B64D99" w:rsidR="00482C14" w:rsidRPr="00906E9B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59CBD0D4" w14:textId="7B174495" w:rsidR="00482C14" w:rsidRPr="00906E9B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46AEF3BA" w14:textId="543CDC84" w:rsidR="00482C14" w:rsidRPr="00906E9B" w:rsidRDefault="00482C14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  <w:r w:rsidRPr="00906E9B">
              <w:rPr>
                <w:rFonts w:ascii="Arial" w:hAnsi="Arial" w:cs="Arial"/>
              </w:rPr>
              <w:t xml:space="preserve">Engaged IR and IT departments as evidenced by committee or working group representation </w:t>
            </w:r>
          </w:p>
          <w:p w14:paraId="0A1C1C5D" w14:textId="687B7472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2B7DEA1D" w14:textId="295A4ECD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  <w:p w14:paraId="7529EA9D" w14:textId="1041CB86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984AE4E" w14:textId="77777777" w:rsidR="006D7895" w:rsidRPr="00906E9B" w:rsidRDefault="006D7895" w:rsidP="00906E9B">
            <w:pPr>
              <w:spacing w:beforeLines="20" w:before="48" w:afterLines="20" w:after="48" w:line="276" w:lineRule="auto"/>
              <w:rPr>
                <w:rFonts w:ascii="Arial" w:hAnsi="Arial" w:cs="Arial"/>
              </w:rPr>
            </w:pPr>
          </w:p>
        </w:tc>
      </w:tr>
    </w:tbl>
    <w:p w14:paraId="1511278F" w14:textId="77777777" w:rsidR="003400CD" w:rsidRPr="00906E9B" w:rsidRDefault="003400CD" w:rsidP="00906E9B">
      <w:pPr>
        <w:spacing w:beforeLines="20" w:before="48" w:afterLines="20" w:after="48" w:line="276" w:lineRule="auto"/>
        <w:rPr>
          <w:rFonts w:ascii="Arial" w:hAnsi="Arial" w:cs="Arial"/>
        </w:rPr>
      </w:pPr>
    </w:p>
    <w:sectPr w:rsidR="003400CD" w:rsidRPr="00906E9B" w:rsidSect="00906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96F4" w14:textId="77777777" w:rsidR="00E11F20" w:rsidRDefault="00E11F20" w:rsidP="00906E9B">
      <w:r>
        <w:separator/>
      </w:r>
    </w:p>
  </w:endnote>
  <w:endnote w:type="continuationSeparator" w:id="0">
    <w:p w14:paraId="65898255" w14:textId="77777777" w:rsidR="00E11F20" w:rsidRDefault="00E11F20" w:rsidP="0090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25749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AC06C" w14:textId="52BE0DF3" w:rsidR="00906E9B" w:rsidRDefault="00906E9B" w:rsidP="00906E9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6B77B" w14:textId="77777777" w:rsidR="00906E9B" w:rsidRDefault="00906E9B" w:rsidP="00906E9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72C0" w14:textId="0775D311" w:rsidR="00906E9B" w:rsidRPr="00906E9B" w:rsidRDefault="00906E9B" w:rsidP="00906E9B">
    <w:pPr>
      <w:ind w:firstLine="360"/>
      <w:jc w:val="right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CE63" w14:textId="4E2EE753" w:rsidR="00906E9B" w:rsidRPr="00906E9B" w:rsidRDefault="00906E9B" w:rsidP="00906E9B">
    <w:pPr>
      <w:jc w:val="righ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1991" w14:textId="77777777" w:rsidR="00E11F20" w:rsidRDefault="00E11F20" w:rsidP="00906E9B">
      <w:r>
        <w:separator/>
      </w:r>
    </w:p>
  </w:footnote>
  <w:footnote w:type="continuationSeparator" w:id="0">
    <w:p w14:paraId="336CCCE9" w14:textId="77777777" w:rsidR="00E11F20" w:rsidRDefault="00E11F20" w:rsidP="0090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D7926" w14:textId="77777777" w:rsidR="00825900" w:rsidRDefault="00825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D583A" w14:textId="77777777" w:rsidR="00825900" w:rsidRDefault="00825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6DD8" w14:textId="6607D46C" w:rsidR="00906E9B" w:rsidRDefault="00825900" w:rsidP="00906E9B">
    <w:pPr>
      <w:pStyle w:val="Header"/>
      <w:jc w:val="center"/>
    </w:pPr>
    <w:r>
      <w:rPr>
        <w:noProof/>
      </w:rPr>
      <w:drawing>
        <wp:inline distT="0" distB="0" distL="0" distR="0" wp14:anchorId="556D1BD6" wp14:editId="692F2077">
          <wp:extent cx="7315200" cy="182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CN-docheader-0311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01FB"/>
    <w:multiLevelType w:val="hybridMultilevel"/>
    <w:tmpl w:val="41AA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DD8"/>
    <w:multiLevelType w:val="hybridMultilevel"/>
    <w:tmpl w:val="C89C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77F3"/>
    <w:multiLevelType w:val="hybridMultilevel"/>
    <w:tmpl w:val="112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CD"/>
    <w:rsid w:val="0007485D"/>
    <w:rsid w:val="00074C31"/>
    <w:rsid w:val="000A1403"/>
    <w:rsid w:val="000A5EA1"/>
    <w:rsid w:val="00120E3E"/>
    <w:rsid w:val="001406D0"/>
    <w:rsid w:val="001D59E0"/>
    <w:rsid w:val="00253A6C"/>
    <w:rsid w:val="0026504E"/>
    <w:rsid w:val="002657C4"/>
    <w:rsid w:val="002741FE"/>
    <w:rsid w:val="002802A4"/>
    <w:rsid w:val="00280453"/>
    <w:rsid w:val="002D3F2B"/>
    <w:rsid w:val="00311644"/>
    <w:rsid w:val="003260A8"/>
    <w:rsid w:val="00335568"/>
    <w:rsid w:val="003400CD"/>
    <w:rsid w:val="003770E9"/>
    <w:rsid w:val="003C0038"/>
    <w:rsid w:val="003C4F3C"/>
    <w:rsid w:val="003D3342"/>
    <w:rsid w:val="003F3B64"/>
    <w:rsid w:val="003F4DF2"/>
    <w:rsid w:val="004123FE"/>
    <w:rsid w:val="00481995"/>
    <w:rsid w:val="00482C14"/>
    <w:rsid w:val="00483DE5"/>
    <w:rsid w:val="00487853"/>
    <w:rsid w:val="00494873"/>
    <w:rsid w:val="004C70DB"/>
    <w:rsid w:val="00512B0F"/>
    <w:rsid w:val="0054090B"/>
    <w:rsid w:val="00560819"/>
    <w:rsid w:val="00595725"/>
    <w:rsid w:val="005D6A41"/>
    <w:rsid w:val="005E32B7"/>
    <w:rsid w:val="005F7CA3"/>
    <w:rsid w:val="00641985"/>
    <w:rsid w:val="00643189"/>
    <w:rsid w:val="006801C6"/>
    <w:rsid w:val="00695A03"/>
    <w:rsid w:val="006A5CBD"/>
    <w:rsid w:val="006B4F61"/>
    <w:rsid w:val="006D01EB"/>
    <w:rsid w:val="006D7895"/>
    <w:rsid w:val="00721D8F"/>
    <w:rsid w:val="00745653"/>
    <w:rsid w:val="0075112F"/>
    <w:rsid w:val="007650AD"/>
    <w:rsid w:val="007B2C26"/>
    <w:rsid w:val="007D331C"/>
    <w:rsid w:val="00825900"/>
    <w:rsid w:val="0084672A"/>
    <w:rsid w:val="008830A3"/>
    <w:rsid w:val="008A40A6"/>
    <w:rsid w:val="008D081B"/>
    <w:rsid w:val="00906E9B"/>
    <w:rsid w:val="00932D41"/>
    <w:rsid w:val="009F1831"/>
    <w:rsid w:val="009F7594"/>
    <w:rsid w:val="00A1378E"/>
    <w:rsid w:val="00A35703"/>
    <w:rsid w:val="00A43E7A"/>
    <w:rsid w:val="00A55037"/>
    <w:rsid w:val="00A57BDF"/>
    <w:rsid w:val="00AA275C"/>
    <w:rsid w:val="00B1356E"/>
    <w:rsid w:val="00B66E5D"/>
    <w:rsid w:val="00B75CAF"/>
    <w:rsid w:val="00BA0DC7"/>
    <w:rsid w:val="00C00F6E"/>
    <w:rsid w:val="00C128E4"/>
    <w:rsid w:val="00CD5B6B"/>
    <w:rsid w:val="00D41F22"/>
    <w:rsid w:val="00D5081D"/>
    <w:rsid w:val="00D556CF"/>
    <w:rsid w:val="00D711D3"/>
    <w:rsid w:val="00D7689E"/>
    <w:rsid w:val="00D900BF"/>
    <w:rsid w:val="00DD298F"/>
    <w:rsid w:val="00E11F20"/>
    <w:rsid w:val="00E205FF"/>
    <w:rsid w:val="00E3488D"/>
    <w:rsid w:val="00E8407D"/>
    <w:rsid w:val="00EB4A10"/>
    <w:rsid w:val="00EF43F7"/>
    <w:rsid w:val="00F20E75"/>
    <w:rsid w:val="00F2544B"/>
    <w:rsid w:val="00F34E50"/>
    <w:rsid w:val="00F852DE"/>
    <w:rsid w:val="00FC2B85"/>
    <w:rsid w:val="00FF587E"/>
    <w:rsid w:val="040E73F7"/>
    <w:rsid w:val="12EC6B22"/>
    <w:rsid w:val="17C69A7F"/>
    <w:rsid w:val="1CAE224B"/>
    <w:rsid w:val="1D40A62B"/>
    <w:rsid w:val="1DA26B7E"/>
    <w:rsid w:val="20D32F3A"/>
    <w:rsid w:val="22CD5727"/>
    <w:rsid w:val="2614720F"/>
    <w:rsid w:val="261FA370"/>
    <w:rsid w:val="26984ED0"/>
    <w:rsid w:val="276AF331"/>
    <w:rsid w:val="28F9194C"/>
    <w:rsid w:val="30754164"/>
    <w:rsid w:val="336AD6FE"/>
    <w:rsid w:val="3516CFC5"/>
    <w:rsid w:val="4140876C"/>
    <w:rsid w:val="53E4D019"/>
    <w:rsid w:val="540C04C2"/>
    <w:rsid w:val="5475CB62"/>
    <w:rsid w:val="5555C7A5"/>
    <w:rsid w:val="57574178"/>
    <w:rsid w:val="67F9F3A9"/>
    <w:rsid w:val="718BE89F"/>
    <w:rsid w:val="7C4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CF3B8"/>
  <w15:chartTrackingRefBased/>
  <w15:docId w15:val="{00DC9ECF-0E20-F047-B442-B9A7A541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0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E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E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50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8467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06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9B"/>
  </w:style>
  <w:style w:type="paragraph" w:styleId="Footer">
    <w:name w:val="footer"/>
    <w:basedOn w:val="Normal"/>
    <w:link w:val="FooterChar"/>
    <w:uiPriority w:val="99"/>
    <w:unhideWhenUsed/>
    <w:rsid w:val="00906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9B"/>
  </w:style>
  <w:style w:type="character" w:styleId="PageNumber">
    <w:name w:val="page number"/>
    <w:basedOn w:val="DefaultParagraphFont"/>
    <w:uiPriority w:val="99"/>
    <w:semiHidden/>
    <w:unhideWhenUsed/>
    <w:rsid w:val="0090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44DD6-08F9-47CE-8672-0412FC5A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D9C9A-40E1-468C-BEFD-FAA362E5C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097FB-0523-40CF-9076-2EC08D246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</dc:creator>
  <cp:keywords/>
  <dc:description/>
  <cp:lastModifiedBy>Julita Bailey-Vasco</cp:lastModifiedBy>
  <cp:revision>2</cp:revision>
  <dcterms:created xsi:type="dcterms:W3CDTF">2020-04-06T17:02:00Z</dcterms:created>
  <dcterms:modified xsi:type="dcterms:W3CDTF">2020-04-06T17:02:00Z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